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B9" w:rsidRPr="00ED08B9" w:rsidRDefault="0018612C" w:rsidP="00ED08B9">
      <w:pPr>
        <w:tabs>
          <w:tab w:val="right" w:leader="dot" w:pos="8505"/>
        </w:tabs>
        <w:adjustRightInd w:val="0"/>
        <w:snapToGrid w:val="0"/>
        <w:spacing w:afterLines="50" w:after="180" w:line="480" w:lineRule="exact"/>
        <w:ind w:leftChars="-236" w:left="-566"/>
        <w:jc w:val="center"/>
        <w:textAlignment w:val="baseline"/>
        <w:rPr>
          <w:rFonts w:ascii="Times New Roman" w:eastAsia="標楷體" w:hAnsi="標楷體" w:cs="Times New Roman"/>
          <w:b/>
          <w:kern w:val="28"/>
          <w:sz w:val="36"/>
          <w:szCs w:val="20"/>
        </w:rPr>
      </w:pPr>
      <w:r>
        <w:rPr>
          <w:rFonts w:ascii="Times New Roman" w:eastAsia="標楷體" w:hAnsi="Times New Roman" w:cs="Times New Roman" w:hint="eastAsia"/>
          <w:b/>
          <w:kern w:val="28"/>
          <w:sz w:val="36"/>
          <w:szCs w:val="36"/>
        </w:rPr>
        <w:t>製造業</w:t>
      </w:r>
      <w:bookmarkStart w:id="0" w:name="_GoBack"/>
      <w:bookmarkEnd w:id="0"/>
      <w:r w:rsidR="00ED08B9" w:rsidRPr="00ED08B9">
        <w:rPr>
          <w:rFonts w:ascii="Times New Roman" w:eastAsia="標楷體" w:hAnsi="Times New Roman" w:cs="Times New Roman" w:hint="eastAsia"/>
          <w:b/>
          <w:kern w:val="28"/>
          <w:sz w:val="36"/>
          <w:szCs w:val="36"/>
        </w:rPr>
        <w:t>卓越評量表</w:t>
      </w:r>
    </w:p>
    <w:p w:rsidR="00ED08B9" w:rsidRPr="00ED08B9" w:rsidRDefault="00ED08B9" w:rsidP="00ED08B9">
      <w:pPr>
        <w:numPr>
          <w:ilvl w:val="0"/>
          <w:numId w:val="17"/>
        </w:numPr>
        <w:tabs>
          <w:tab w:val="right" w:leader="dot" w:pos="426"/>
          <w:tab w:val="left" w:pos="567"/>
        </w:tabs>
        <w:adjustRightInd w:val="0"/>
        <w:snapToGrid w:val="0"/>
        <w:spacing w:afterLines="50" w:after="180" w:line="480" w:lineRule="exact"/>
        <w:jc w:val="both"/>
        <w:textAlignment w:val="baseline"/>
        <w:rPr>
          <w:rFonts w:ascii="Times New Roman" w:eastAsia="標楷體" w:hAnsi="標楷體" w:cs="Times New Roman"/>
          <w:kern w:val="28"/>
          <w:sz w:val="28"/>
          <w:szCs w:val="28"/>
        </w:rPr>
      </w:pPr>
      <w:r w:rsidRPr="00ED08B9">
        <w:rPr>
          <w:rFonts w:ascii="Times New Roman" w:eastAsia="標楷體" w:hAnsi="標楷體" w:cs="Times New Roman" w:hint="eastAsia"/>
          <w:kern w:val="28"/>
          <w:sz w:val="28"/>
          <w:szCs w:val="28"/>
        </w:rPr>
        <w:t>評量內容</w:t>
      </w:r>
      <w:r w:rsidRPr="00ED08B9">
        <w:rPr>
          <w:rFonts w:ascii="Times New Roman" w:eastAsia="標楷體" w:hAnsi="標楷體" w:cs="Times New Roman" w:hint="eastAsia"/>
          <w:kern w:val="28"/>
          <w:szCs w:val="28"/>
        </w:rPr>
        <w:t>（請用</w:t>
      </w:r>
      <w:r w:rsidRPr="00ED08B9">
        <w:rPr>
          <w:rFonts w:ascii="Times New Roman" w:eastAsia="標楷體" w:hAnsi="標楷體" w:cs="Times New Roman" w:hint="eastAsia"/>
          <w:color w:val="FF0000"/>
          <w:kern w:val="28"/>
          <w:szCs w:val="28"/>
        </w:rPr>
        <w:t>V</w:t>
      </w:r>
      <w:r w:rsidRPr="00ED08B9">
        <w:rPr>
          <w:rFonts w:ascii="Times New Roman" w:eastAsia="標楷體" w:hAnsi="標楷體" w:cs="Times New Roman" w:hint="eastAsia"/>
          <w:kern w:val="28"/>
          <w:szCs w:val="28"/>
        </w:rPr>
        <w:t>勾選）</w:t>
      </w:r>
    </w:p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標楷體" w:cs="Times New Roman"/>
          <w:b/>
          <w:kern w:val="28"/>
          <w:sz w:val="22"/>
          <w:szCs w:val="28"/>
        </w:rPr>
      </w:pPr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1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、領導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120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1.1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高階領導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 w:val="21"/>
                <w:szCs w:val="24"/>
                <w:lang w:val="en-GB"/>
              </w:rPr>
              <w:t>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60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1.2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公司治理與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社會責任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 w:val="21"/>
                <w:szCs w:val="24"/>
                <w:lang w:val="en-GB"/>
              </w:rPr>
              <w:t>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60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469"/>
          <w:jc w:val="center"/>
        </w:trPr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Times New Roman" w:cs="Times New Roman"/>
          <w:kern w:val="28"/>
          <w:sz w:val="22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＊</w:t>
      </w:r>
      <w:proofErr w:type="gramEnd"/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vMerge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2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、策略管理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80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2.1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整體策略規劃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25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ind w:leftChars="-1" w:left="-2" w:firstLine="2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2.2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經營模式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25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ind w:leftChars="-1" w:left="-2" w:firstLine="2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2.3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策略執行與改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善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705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bottom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Times New Roman" w:cs="Times New Roman"/>
          <w:kern w:val="28"/>
          <w:sz w:val="36"/>
          <w:szCs w:val="20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＊</w:t>
      </w:r>
      <w:proofErr w:type="gramEnd"/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、研發與創新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80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3.1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研發與創新策略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4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ind w:leftChars="-36" w:left="-2" w:hangingChars="30" w:hanging="84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3.2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研發與創新之投入與管理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4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71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bottom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標楷體" w:cs="Times New Roman"/>
          <w:kern w:val="28"/>
          <w:sz w:val="22"/>
          <w:szCs w:val="28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*</w:t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4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、顧客與市場發展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100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4.1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產品（技術服務）與市場策略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4.2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顧客關係與商情管理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70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4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ind w:left="348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bottom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7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7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7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標楷體" w:cs="Times New Roman"/>
          <w:kern w:val="28"/>
          <w:sz w:val="22"/>
          <w:szCs w:val="28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＊</w:t>
      </w:r>
      <w:proofErr w:type="gramEnd"/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5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、人力資源與知識管理</w:t>
            </w:r>
          </w:p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80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5.1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人力資源規劃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與運用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5.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2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員工關係管理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20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5.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知識管理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343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ind w:left="348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bottom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9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9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9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標楷體" w:cs="Times New Roman"/>
          <w:kern w:val="28"/>
          <w:sz w:val="22"/>
          <w:szCs w:val="28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＊</w:t>
      </w:r>
      <w:proofErr w:type="gramEnd"/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vMerge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6</w:t>
            </w:r>
            <w:r w:rsidR="00494F38">
              <w:rPr>
                <w:rFonts w:ascii="Times New Roman" w:eastAsia="標楷體" w:hAnsi="標楷體" w:cs="Times New Roman"/>
                <w:b/>
                <w:color w:val="000000"/>
                <w:szCs w:val="24"/>
                <w:lang w:val="en-GB"/>
              </w:rPr>
              <w:t>、資訊</w:t>
            </w:r>
            <w:r w:rsidR="00494F38">
              <w:rPr>
                <w:rFonts w:ascii="Times New Roman" w:eastAsia="標楷體" w:hAnsi="標楷體" w:cs="Times New Roman" w:hint="eastAsia"/>
                <w:b/>
                <w:color w:val="000000"/>
                <w:szCs w:val="24"/>
                <w:lang w:val="en-GB"/>
              </w:rPr>
              <w:t>運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Cs w:val="24"/>
                <w:lang w:val="en-GB"/>
              </w:rPr>
              <w:t>用</w:t>
            </w:r>
            <w:r w:rsidR="00494F38">
              <w:rPr>
                <w:rFonts w:ascii="Times New Roman" w:eastAsia="標楷體" w:hAnsi="標楷體" w:cs="Times New Roman" w:hint="eastAsia"/>
                <w:b/>
                <w:color w:val="000000"/>
                <w:szCs w:val="24"/>
                <w:lang w:val="en-GB"/>
              </w:rPr>
              <w:t>策略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Cs w:val="24"/>
                <w:lang w:val="en-GB"/>
              </w:rPr>
              <w:t>與管理</w:t>
            </w:r>
          </w:p>
          <w:p w:rsidR="00ED08B9" w:rsidRPr="00ED08B9" w:rsidRDefault="00ED08B9" w:rsidP="00ED08B9">
            <w:pPr>
              <w:adjustRightInd w:val="0"/>
              <w:snapToGrid w:val="0"/>
              <w:ind w:left="330" w:hangingChars="157" w:hanging="330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80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6.1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資訊策略規劃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20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6.2</w:t>
            </w:r>
            <w:r w:rsidR="00494F38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網路</w:t>
            </w:r>
            <w:r w:rsidR="00494F38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應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用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6.3</w:t>
            </w: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資訊應用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368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ind w:left="348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bottom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11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1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1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Times New Roman" w:cs="Times New Roman"/>
          <w:kern w:val="28"/>
          <w:sz w:val="36"/>
          <w:szCs w:val="20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＊</w:t>
      </w:r>
      <w:proofErr w:type="gramEnd"/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7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、流程管理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110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pacing w:val="-1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7.1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pacing w:val="-10"/>
                <w:szCs w:val="24"/>
                <w:lang w:val="en-GB"/>
              </w:rPr>
              <w:t>主要工作流程管理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50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7.2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支援性</w:t>
            </w:r>
            <w:r w:rsidR="00494F38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工作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流程管理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7.3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跨組織流程管理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326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13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3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3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Times New Roman" w:cs="Times New Roman"/>
          <w:kern w:val="28"/>
          <w:sz w:val="36"/>
          <w:szCs w:val="20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</w:t>
      </w:r>
      <w:proofErr w:type="gramEnd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重</w:t>
      </w:r>
      <w:proofErr w:type="gramStart"/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＊</w:t>
      </w:r>
      <w:proofErr w:type="gramEnd"/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60"/>
        <w:gridCol w:w="695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30" w:type="dxa"/>
            <w:gridSpan w:val="5"/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8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、經營績效</w:t>
            </w:r>
          </w:p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="304" w:hangingChars="145" w:hanging="304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350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8.1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財務績效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60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spacing w:after="24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8.2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研發與創新績效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50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483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ind w:left="319" w:hangingChars="133" w:hanging="319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8.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顧客與市場發展績效</w:t>
            </w:r>
          </w:p>
          <w:p w:rsidR="00ED08B9" w:rsidRPr="00ED08B9" w:rsidRDefault="00ED08B9" w:rsidP="00ED08B9">
            <w:pPr>
              <w:adjustRightInd w:val="0"/>
              <w:snapToGrid w:val="0"/>
              <w:ind w:left="279" w:hangingChars="133" w:hanging="279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60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8.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4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人力資源發展績效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40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8.5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資訊管理績效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40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8.6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流程管理績效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50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8.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7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社會評價（品質榮譽）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50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1944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59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15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5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5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8551FC" w:rsidRPr="00ED08B9" w:rsidRDefault="008551FC"/>
    <w:sectPr w:rsidR="008551FC" w:rsidRPr="00ED08B9" w:rsidSect="00ED08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2C" w:rsidRDefault="0018612C" w:rsidP="0018612C">
      <w:r>
        <w:separator/>
      </w:r>
    </w:p>
  </w:endnote>
  <w:endnote w:type="continuationSeparator" w:id="0">
    <w:p w:rsidR="0018612C" w:rsidRDefault="0018612C" w:rsidP="001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2C" w:rsidRDefault="0018612C" w:rsidP="0018612C">
      <w:r>
        <w:separator/>
      </w:r>
    </w:p>
  </w:footnote>
  <w:footnote w:type="continuationSeparator" w:id="0">
    <w:p w:rsidR="0018612C" w:rsidRDefault="0018612C" w:rsidP="0018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3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2A383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C6B5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4C320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B0FA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81751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DF603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BF042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136CAF"/>
    <w:multiLevelType w:val="hybridMultilevel"/>
    <w:tmpl w:val="C07E4B92"/>
    <w:lvl w:ilvl="0" w:tplc="B1326E92">
      <w:start w:val="1"/>
      <w:numFmt w:val="taiwaneseCountingThousand"/>
      <w:lvlText w:val="%1、"/>
      <w:lvlJc w:val="left"/>
      <w:pPr>
        <w:ind w:left="394" w:hanging="48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9">
    <w:nsid w:val="3EF61195"/>
    <w:multiLevelType w:val="hybridMultilevel"/>
    <w:tmpl w:val="7BE81340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E12622E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AC75B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A72A5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ED110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C57937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86725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2D78A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E147F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6"/>
  </w:num>
  <w:num w:numId="5">
    <w:abstractNumId w:val="14"/>
  </w:num>
  <w:num w:numId="6">
    <w:abstractNumId w:val="2"/>
  </w:num>
  <w:num w:numId="7">
    <w:abstractNumId w:val="13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B9"/>
    <w:rsid w:val="0018612C"/>
    <w:rsid w:val="00494F38"/>
    <w:rsid w:val="005C591D"/>
    <w:rsid w:val="008551FC"/>
    <w:rsid w:val="008A0CC4"/>
    <w:rsid w:val="00B07FDD"/>
    <w:rsid w:val="00B16FE6"/>
    <w:rsid w:val="00ED08B9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61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61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61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61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220</Words>
  <Characters>1259</Characters>
  <Application>Microsoft Office Word</Application>
  <DocSecurity>0</DocSecurity>
  <Lines>10</Lines>
  <Paragraphs>2</Paragraphs>
  <ScaleCrop>false</ScaleCrop>
  <Company>CPC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CPCuser</cp:lastModifiedBy>
  <cp:revision>5</cp:revision>
  <dcterms:created xsi:type="dcterms:W3CDTF">2017-02-02T07:20:00Z</dcterms:created>
  <dcterms:modified xsi:type="dcterms:W3CDTF">2017-03-20T06:38:00Z</dcterms:modified>
</cp:coreProperties>
</file>